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Client Ready Kit Example</w:t>
      </w:r>
    </w:p>
    <w:p>
      <w:pPr>
        <w:spacing w:after="360"/>
      </w:pPr>
      <w:r>
        <w:t>This fictional sample shows how one verified business profile can support a client brief, scope overview, handover checklist and editable follow up messages. Review every date, amount and business fact before use.</w:t>
      </w:r>
    </w:p>
    <w:p>
      <w:pPr>
        <w:pStyle w:val="Heading1"/>
      </w:pPr>
      <w:r>
        <w:t>Client brief</w:t>
      </w:r>
    </w:p>
    <w:tbl>
      <w:tblPr>
        <w:tblStyle w:val="TableGrid"/>
        <w:tblW w:type="auto" w:w="0"/>
        <w:tblLook w:firstColumn="1" w:firstRow="1" w:lastColumn="0" w:lastRow="0" w:noHBand="0" w:noVBand="1" w:val="04A0"/>
      </w:tblPr>
      <w:tblGrid>
        <w:gridCol w:w="5040"/>
        <w:gridCol w:w="5040"/>
      </w:tblGrid>
      <w:tr>
        <w:tc>
          <w:tcPr>
            <w:tcW w:type="dxa" w:w="2448"/>
            <w:tcMar>
              <w:top w:w="120" w:type="dxa"/>
              <w:start w:w="120" w:type="dxa"/>
              <w:bottom w:w="120" w:type="dxa"/>
              <w:end w:w="120" w:type="dxa"/>
            </w:tcMar>
            <w:vAlign w:val="center"/>
            <w:shd w:fill="176B58"/>
          </w:tcPr>
          <w:p>
            <w:pPr>
              <w:spacing w:after="0"/>
              <w:jc w:val="center"/>
            </w:pPr>
            <w:r>
              <w:rPr>
                <w:rFonts w:ascii="Arial" w:hAnsi="Arial"/>
                <w:b/>
                <w:color w:val="FFFFFF"/>
                <w:sz w:val="18"/>
              </w:rPr>
              <w:t>Field</w:t>
            </w:r>
          </w:p>
        </w:tc>
        <w:tc>
          <w:tcPr>
            <w:tcW w:type="dxa" w:w="6768"/>
            <w:tcMar>
              <w:top w:w="120" w:type="dxa"/>
              <w:start w:w="120" w:type="dxa"/>
              <w:bottom w:w="120" w:type="dxa"/>
              <w:end w:w="120" w:type="dxa"/>
            </w:tcMar>
            <w:vAlign w:val="center"/>
            <w:shd w:fill="176B58"/>
          </w:tcPr>
          <w:p>
            <w:pPr>
              <w:spacing w:after="0"/>
              <w:jc w:val="center"/>
            </w:pPr>
            <w:r>
              <w:rPr>
                <w:rFonts w:ascii="Arial" w:hAnsi="Arial"/>
                <w:b/>
                <w:color w:val="FFFFFF"/>
                <w:sz w:val="18"/>
              </w:rPr>
              <w:t>Example entry</w:t>
            </w:r>
          </w:p>
        </w:tc>
      </w:tr>
      <w:tr>
        <w:tc>
          <w:tcPr>
            <w:tcW w:type="dxa" w:w="2448"/>
            <w:tcMar>
              <w:top w:w="120" w:type="dxa"/>
              <w:start w:w="120" w:type="dxa"/>
              <w:bottom w:w="120" w:type="dxa"/>
              <w:end w:w="120" w:type="dxa"/>
            </w:tcMar>
            <w:vAlign w:val="center"/>
          </w:tcPr>
          <w:p>
            <w:pPr>
              <w:spacing w:after="0"/>
            </w:pPr>
            <w:r>
              <w:rPr>
                <w:rFonts w:ascii="Arial" w:hAnsi="Arial"/>
                <w:sz w:val="18"/>
              </w:rPr>
              <w:t>Business</w:t>
            </w:r>
          </w:p>
        </w:tc>
        <w:tc>
          <w:tcPr>
            <w:tcW w:type="dxa" w:w="6768"/>
            <w:tcMar>
              <w:top w:w="120" w:type="dxa"/>
              <w:start w:w="120" w:type="dxa"/>
              <w:bottom w:w="120" w:type="dxa"/>
              <w:end w:w="120" w:type="dxa"/>
            </w:tcMar>
            <w:vAlign w:val="center"/>
          </w:tcPr>
          <w:p>
            <w:pPr>
              <w:spacing w:after="0"/>
            </w:pPr>
            <w:r>
              <w:rPr>
                <w:rFonts w:ascii="Arial" w:hAnsi="Arial"/>
                <w:sz w:val="18"/>
              </w:rPr>
              <w:t>Willow and Bloom</w:t>
            </w:r>
          </w:p>
        </w:tc>
      </w:tr>
      <w:tr>
        <w:tc>
          <w:tcPr>
            <w:tcW w:type="dxa" w:w="2448"/>
            <w:tcMar>
              <w:top w:w="120" w:type="dxa"/>
              <w:start w:w="120" w:type="dxa"/>
              <w:bottom w:w="120" w:type="dxa"/>
              <w:end w:w="120" w:type="dxa"/>
            </w:tcMar>
            <w:vAlign w:val="center"/>
          </w:tcPr>
          <w:p>
            <w:pPr>
              <w:spacing w:after="0"/>
            </w:pPr>
            <w:r>
              <w:rPr>
                <w:rFonts w:ascii="Arial" w:hAnsi="Arial"/>
                <w:sz w:val="18"/>
              </w:rPr>
              <w:t>Client</w:t>
            </w:r>
          </w:p>
        </w:tc>
        <w:tc>
          <w:tcPr>
            <w:tcW w:type="dxa" w:w="6768"/>
            <w:tcMar>
              <w:top w:w="120" w:type="dxa"/>
              <w:start w:w="120" w:type="dxa"/>
              <w:bottom w:w="120" w:type="dxa"/>
              <w:end w:w="120" w:type="dxa"/>
            </w:tcMar>
            <w:vAlign w:val="center"/>
          </w:tcPr>
          <w:p>
            <w:pPr>
              <w:spacing w:after="0"/>
            </w:pPr>
            <w:r>
              <w:rPr>
                <w:rFonts w:ascii="Arial" w:hAnsi="Arial"/>
                <w:sz w:val="18"/>
              </w:rPr>
              <w:t>Riverside Events</w:t>
            </w:r>
          </w:p>
        </w:tc>
      </w:tr>
      <w:tr>
        <w:tc>
          <w:tcPr>
            <w:tcW w:type="dxa" w:w="2448"/>
            <w:tcMar>
              <w:top w:w="120" w:type="dxa"/>
              <w:start w:w="120" w:type="dxa"/>
              <w:bottom w:w="120" w:type="dxa"/>
              <w:end w:w="120" w:type="dxa"/>
            </w:tcMar>
            <w:vAlign w:val="center"/>
          </w:tcPr>
          <w:p>
            <w:pPr>
              <w:spacing w:after="0"/>
            </w:pPr>
            <w:r>
              <w:rPr>
                <w:rFonts w:ascii="Arial" w:hAnsi="Arial"/>
                <w:sz w:val="18"/>
              </w:rPr>
              <w:t>Project</w:t>
            </w:r>
          </w:p>
        </w:tc>
        <w:tc>
          <w:tcPr>
            <w:tcW w:type="dxa" w:w="6768"/>
            <w:tcMar>
              <w:top w:w="120" w:type="dxa"/>
              <w:start w:w="120" w:type="dxa"/>
              <w:bottom w:w="120" w:type="dxa"/>
              <w:end w:w="120" w:type="dxa"/>
            </w:tcMar>
            <w:vAlign w:val="center"/>
          </w:tcPr>
          <w:p>
            <w:pPr>
              <w:spacing w:after="0"/>
            </w:pPr>
            <w:r>
              <w:rPr>
                <w:rFonts w:ascii="Arial" w:hAnsi="Arial"/>
                <w:sz w:val="18"/>
              </w:rPr>
              <w:t>Seasonal event arrangements</w:t>
            </w:r>
          </w:p>
        </w:tc>
      </w:tr>
      <w:tr>
        <w:tc>
          <w:tcPr>
            <w:tcW w:type="dxa" w:w="2448"/>
            <w:tcMar>
              <w:top w:w="120" w:type="dxa"/>
              <w:start w:w="120" w:type="dxa"/>
              <w:bottom w:w="120" w:type="dxa"/>
              <w:end w:w="120" w:type="dxa"/>
            </w:tcMar>
            <w:vAlign w:val="center"/>
          </w:tcPr>
          <w:p>
            <w:pPr>
              <w:spacing w:after="0"/>
            </w:pPr>
            <w:r>
              <w:rPr>
                <w:rFonts w:ascii="Arial" w:hAnsi="Arial"/>
                <w:sz w:val="18"/>
              </w:rPr>
              <w:t>Event date</w:t>
            </w:r>
          </w:p>
        </w:tc>
        <w:tc>
          <w:tcPr>
            <w:tcW w:type="dxa" w:w="6768"/>
            <w:tcMar>
              <w:top w:w="120" w:type="dxa"/>
              <w:start w:w="120" w:type="dxa"/>
              <w:bottom w:w="120" w:type="dxa"/>
              <w:end w:w="120" w:type="dxa"/>
            </w:tcMar>
            <w:vAlign w:val="center"/>
          </w:tcPr>
          <w:p>
            <w:pPr>
              <w:spacing w:after="0"/>
            </w:pPr>
            <w:r>
              <w:rPr>
                <w:rFonts w:ascii="Arial" w:hAnsi="Arial"/>
                <w:sz w:val="18"/>
              </w:rPr>
              <w:t>24 October 2026</w:t>
            </w:r>
          </w:p>
        </w:tc>
      </w:tr>
      <w:tr>
        <w:tc>
          <w:tcPr>
            <w:tcW w:type="dxa" w:w="2448"/>
            <w:tcMar>
              <w:top w:w="120" w:type="dxa"/>
              <w:start w:w="120" w:type="dxa"/>
              <w:bottom w:w="120" w:type="dxa"/>
              <w:end w:w="120" w:type="dxa"/>
            </w:tcMar>
            <w:vAlign w:val="center"/>
          </w:tcPr>
          <w:p>
            <w:pPr>
              <w:spacing w:after="0"/>
            </w:pPr>
            <w:r>
              <w:rPr>
                <w:rFonts w:ascii="Arial" w:hAnsi="Arial"/>
                <w:sz w:val="18"/>
              </w:rPr>
              <w:t>Colour direction</w:t>
            </w:r>
          </w:p>
        </w:tc>
        <w:tc>
          <w:tcPr>
            <w:tcW w:type="dxa" w:w="6768"/>
            <w:tcMar>
              <w:top w:w="120" w:type="dxa"/>
              <w:start w:w="120" w:type="dxa"/>
              <w:bottom w:w="120" w:type="dxa"/>
              <w:end w:w="120" w:type="dxa"/>
            </w:tcMar>
            <w:vAlign w:val="center"/>
          </w:tcPr>
          <w:p>
            <w:pPr>
              <w:spacing w:after="0"/>
            </w:pPr>
            <w:r>
              <w:rPr>
                <w:rFonts w:ascii="Arial" w:hAnsi="Arial"/>
                <w:sz w:val="18"/>
              </w:rPr>
              <w:t>White, green and a small blush accent</w:t>
            </w:r>
          </w:p>
        </w:tc>
      </w:tr>
      <w:tr>
        <w:tc>
          <w:tcPr>
            <w:tcW w:type="dxa" w:w="2448"/>
            <w:tcMar>
              <w:top w:w="120" w:type="dxa"/>
              <w:start w:w="120" w:type="dxa"/>
              <w:bottom w:w="120" w:type="dxa"/>
              <w:end w:w="120" w:type="dxa"/>
            </w:tcMar>
            <w:vAlign w:val="center"/>
          </w:tcPr>
          <w:p>
            <w:pPr>
              <w:spacing w:after="0"/>
            </w:pPr>
            <w:r>
              <w:rPr>
                <w:rFonts w:ascii="Arial" w:hAnsi="Arial"/>
                <w:sz w:val="18"/>
              </w:rPr>
              <w:t>Review point</w:t>
            </w:r>
          </w:p>
        </w:tc>
        <w:tc>
          <w:tcPr>
            <w:tcW w:type="dxa" w:w="6768"/>
            <w:tcMar>
              <w:top w:w="120" w:type="dxa"/>
              <w:start w:w="120" w:type="dxa"/>
              <w:bottom w:w="120" w:type="dxa"/>
              <w:end w:w="120" w:type="dxa"/>
            </w:tcMar>
            <w:vAlign w:val="center"/>
          </w:tcPr>
          <w:p>
            <w:pPr>
              <w:spacing w:after="0"/>
            </w:pPr>
            <w:r>
              <w:rPr>
                <w:rFonts w:ascii="Arial" w:hAnsi="Arial"/>
                <w:sz w:val="18"/>
              </w:rPr>
              <w:t>Confirm quantities, venue access and final delivery window</w:t>
            </w:r>
          </w:p>
        </w:tc>
      </w:tr>
    </w:tbl>
    <w:p>
      <w:pPr>
        <w:pStyle w:val="Heading1"/>
      </w:pPr>
      <w:r>
        <w:t>Scope overview</w:t>
      </w:r>
    </w:p>
    <w:p>
      <w:r>
        <w:t>Willow and Bloom will prepare the arrangements listed in the approved quote using the quantities, colour direction and delivery details confirmed by the client. This overview is an operational summary and is not a legal contract.</w:t>
      </w:r>
    </w:p>
    <w:p>
      <w:pPr>
        <w:pStyle w:val="Heading2"/>
      </w:pPr>
      <w:r>
        <w:t>Included work</w:t>
      </w:r>
    </w:p>
    <w:p>
      <w:pPr>
        <w:pStyle w:val="ListBullet"/>
      </w:pPr>
      <w:r>
        <w:t>Prepare two seasonal table arrangements</w:t>
      </w:r>
    </w:p>
    <w:p>
      <w:pPr>
        <w:pStyle w:val="ListBullet"/>
      </w:pPr>
      <w:r>
        <w:t>Package the arrangements for local transport</w:t>
      </w:r>
    </w:p>
    <w:p>
      <w:pPr>
        <w:pStyle w:val="ListBullet"/>
      </w:pPr>
      <w:r>
        <w:t>Deliver within the confirmed venue access window</w:t>
      </w:r>
    </w:p>
    <w:p>
      <w:pPr>
        <w:pStyle w:val="Heading2"/>
      </w:pPr>
      <w:r>
        <w:t>Client confirmation</w:t>
      </w:r>
    </w:p>
    <w:p>
      <w:r>
        <w:t>The client should confirm the venue contact, access time and requested colour direction before preparation starts. Any change to quantities or delivery requirements should be reflected in an updated quote.</w:t>
      </w:r>
    </w:p>
    <w:p>
      <w:pPr>
        <w:sectPr>
          <w:pgSz w:w="12240" w:h="15840"/>
          <w:pgMar w:top="1008" w:right="1080" w:bottom="1008" w:left="1080" w:header="720" w:footer="720" w:gutter="0"/>
          <w:cols w:space="720"/>
          <w:docGrid w:linePitch="360"/>
        </w:sectPr>
      </w:pPr>
    </w:p>
    <w:p>
      <w:pPr>
        <w:pStyle w:val="Heading1"/>
      </w:pPr>
      <w:r>
        <w:t>Handover checklist</w:t>
      </w:r>
    </w:p>
    <w:tbl>
      <w:tblPr>
        <w:tblStyle w:val="TableGrid"/>
        <w:tblW w:type="auto" w:w="0"/>
        <w:tblLook w:firstColumn="1" w:firstRow="1" w:lastColumn="0" w:lastRow="0" w:noHBand="0" w:noVBand="1" w:val="04A0"/>
      </w:tblPr>
      <w:tblGrid>
        <w:gridCol w:w="3360"/>
        <w:gridCol w:w="3360"/>
        <w:gridCol w:w="3360"/>
      </w:tblGrid>
      <w:tr>
        <w:tc>
          <w:tcPr>
            <w:tcW w:type="dxa" w:w="1008"/>
            <w:tcMar>
              <w:top w:w="120" w:type="dxa"/>
              <w:start w:w="120" w:type="dxa"/>
              <w:bottom w:w="120" w:type="dxa"/>
              <w:end w:w="120" w:type="dxa"/>
            </w:tcMar>
            <w:vAlign w:val="center"/>
            <w:shd w:fill="176B58"/>
          </w:tcPr>
          <w:p>
            <w:pPr>
              <w:spacing w:after="0"/>
              <w:jc w:val="center"/>
            </w:pPr>
            <w:r>
              <w:rPr>
                <w:rFonts w:ascii="Arial" w:hAnsi="Arial"/>
                <w:b/>
                <w:color w:val="FFFFFF"/>
                <w:sz w:val="18"/>
              </w:rPr>
              <w:t>Done</w:t>
            </w:r>
          </w:p>
        </w:tc>
        <w:tc>
          <w:tcPr>
            <w:tcW w:type="dxa" w:w="5328"/>
            <w:tcMar>
              <w:top w:w="120" w:type="dxa"/>
              <w:start w:w="120" w:type="dxa"/>
              <w:bottom w:w="120" w:type="dxa"/>
              <w:end w:w="120" w:type="dxa"/>
            </w:tcMar>
            <w:vAlign w:val="center"/>
            <w:shd w:fill="176B58"/>
          </w:tcPr>
          <w:p>
            <w:pPr>
              <w:spacing w:after="0"/>
              <w:jc w:val="center"/>
            </w:pPr>
            <w:r>
              <w:rPr>
                <w:rFonts w:ascii="Arial" w:hAnsi="Arial"/>
                <w:b/>
                <w:color w:val="FFFFFF"/>
                <w:sz w:val="18"/>
              </w:rPr>
              <w:t>Check</w:t>
            </w:r>
          </w:p>
        </w:tc>
        <w:tc>
          <w:tcPr>
            <w:tcW w:type="dxa" w:w="2880"/>
            <w:tcMar>
              <w:top w:w="120" w:type="dxa"/>
              <w:start w:w="120" w:type="dxa"/>
              <w:bottom w:w="120" w:type="dxa"/>
              <w:end w:w="120" w:type="dxa"/>
            </w:tcMar>
            <w:vAlign w:val="center"/>
            <w:shd w:fill="176B58"/>
          </w:tcPr>
          <w:p>
            <w:pPr>
              <w:spacing w:after="0"/>
              <w:jc w:val="center"/>
            </w:pPr>
            <w:r>
              <w:rPr>
                <w:rFonts w:ascii="Arial" w:hAnsi="Arial"/>
                <w:b/>
                <w:color w:val="FFFFFF"/>
                <w:sz w:val="18"/>
              </w:rPr>
              <w:t>Notes</w:t>
            </w:r>
          </w:p>
        </w:tc>
      </w:tr>
      <w:tr>
        <w:tc>
          <w:tcPr>
            <w:tcW w:type="dxa" w:w="1008"/>
            <w:tcMar>
              <w:top w:w="120" w:type="dxa"/>
              <w:start w:w="120" w:type="dxa"/>
              <w:bottom w:w="120" w:type="dxa"/>
              <w:end w:w="120" w:type="dxa"/>
            </w:tcMar>
            <w:vAlign w:val="center"/>
          </w:tcPr>
          <w:p>
            <w:pPr>
              <w:spacing w:after="0"/>
            </w:pPr>
            <w:r>
              <w:rPr>
                <w:rFonts w:ascii="Arial" w:hAnsi="Arial"/>
                <w:sz w:val="18"/>
              </w:rPr>
              <w:t>[ ]</w:t>
            </w:r>
          </w:p>
        </w:tc>
        <w:tc>
          <w:tcPr>
            <w:tcW w:type="dxa" w:w="5328"/>
            <w:tcMar>
              <w:top w:w="120" w:type="dxa"/>
              <w:start w:w="120" w:type="dxa"/>
              <w:bottom w:w="120" w:type="dxa"/>
              <w:end w:w="120" w:type="dxa"/>
            </w:tcMar>
            <w:vAlign w:val="center"/>
          </w:tcPr>
          <w:p>
            <w:pPr>
              <w:spacing w:after="0"/>
            </w:pPr>
            <w:r>
              <w:rPr>
                <w:rFonts w:ascii="Arial" w:hAnsi="Arial"/>
                <w:sz w:val="18"/>
              </w:rPr>
              <w:t>Quantities match the approved quote</w:t>
            </w:r>
          </w:p>
        </w:tc>
        <w:tc>
          <w:tcPr>
            <w:tcW w:type="dxa" w:w="2880"/>
            <w:tcMar>
              <w:top w:w="120" w:type="dxa"/>
              <w:start w:w="120" w:type="dxa"/>
              <w:bottom w:w="120" w:type="dxa"/>
              <w:end w:w="120" w:type="dxa"/>
            </w:tcMar>
            <w:vAlign w:val="center"/>
          </w:tcPr>
          <w:p>
            <w:pPr>
              <w:spacing w:after="0"/>
            </w:pPr>
            <w:r>
              <w:rPr>
                <w:rFonts w:ascii="Arial" w:hAnsi="Arial"/>
                <w:sz w:val="18"/>
              </w:rPr>
            </w:r>
          </w:p>
        </w:tc>
      </w:tr>
      <w:tr>
        <w:tc>
          <w:tcPr>
            <w:tcW w:type="dxa" w:w="1008"/>
            <w:tcMar>
              <w:top w:w="120" w:type="dxa"/>
              <w:start w:w="120" w:type="dxa"/>
              <w:bottom w:w="120" w:type="dxa"/>
              <w:end w:w="120" w:type="dxa"/>
            </w:tcMar>
            <w:vAlign w:val="center"/>
          </w:tcPr>
          <w:p>
            <w:pPr>
              <w:spacing w:after="0"/>
            </w:pPr>
            <w:r>
              <w:rPr>
                <w:rFonts w:ascii="Arial" w:hAnsi="Arial"/>
                <w:sz w:val="18"/>
              </w:rPr>
              <w:t>[ ]</w:t>
            </w:r>
          </w:p>
        </w:tc>
        <w:tc>
          <w:tcPr>
            <w:tcW w:type="dxa" w:w="5328"/>
            <w:tcMar>
              <w:top w:w="120" w:type="dxa"/>
              <w:start w:w="120" w:type="dxa"/>
              <w:bottom w:w="120" w:type="dxa"/>
              <w:end w:w="120" w:type="dxa"/>
            </w:tcMar>
            <w:vAlign w:val="center"/>
          </w:tcPr>
          <w:p>
            <w:pPr>
              <w:spacing w:after="0"/>
            </w:pPr>
            <w:r>
              <w:rPr>
                <w:rFonts w:ascii="Arial" w:hAnsi="Arial"/>
                <w:sz w:val="18"/>
              </w:rPr>
              <w:t>Customer names and dates were reviewed</w:t>
            </w:r>
          </w:p>
        </w:tc>
        <w:tc>
          <w:tcPr>
            <w:tcW w:type="dxa" w:w="2880"/>
            <w:tcMar>
              <w:top w:w="120" w:type="dxa"/>
              <w:start w:w="120" w:type="dxa"/>
              <w:bottom w:w="120" w:type="dxa"/>
              <w:end w:w="120" w:type="dxa"/>
            </w:tcMar>
            <w:vAlign w:val="center"/>
          </w:tcPr>
          <w:p>
            <w:pPr>
              <w:spacing w:after="0"/>
            </w:pPr>
            <w:r>
              <w:rPr>
                <w:rFonts w:ascii="Arial" w:hAnsi="Arial"/>
                <w:sz w:val="18"/>
              </w:rPr>
            </w:r>
          </w:p>
        </w:tc>
      </w:tr>
      <w:tr>
        <w:tc>
          <w:tcPr>
            <w:tcW w:type="dxa" w:w="1008"/>
            <w:tcMar>
              <w:top w:w="120" w:type="dxa"/>
              <w:start w:w="120" w:type="dxa"/>
              <w:bottom w:w="120" w:type="dxa"/>
              <w:end w:w="120" w:type="dxa"/>
            </w:tcMar>
            <w:vAlign w:val="center"/>
          </w:tcPr>
          <w:p>
            <w:pPr>
              <w:spacing w:after="0"/>
            </w:pPr>
            <w:r>
              <w:rPr>
                <w:rFonts w:ascii="Arial" w:hAnsi="Arial"/>
                <w:sz w:val="18"/>
              </w:rPr>
              <w:t>[ ]</w:t>
            </w:r>
          </w:p>
        </w:tc>
        <w:tc>
          <w:tcPr>
            <w:tcW w:type="dxa" w:w="5328"/>
            <w:tcMar>
              <w:top w:w="120" w:type="dxa"/>
              <w:start w:w="120" w:type="dxa"/>
              <w:bottom w:w="120" w:type="dxa"/>
              <w:end w:w="120" w:type="dxa"/>
            </w:tcMar>
            <w:vAlign w:val="center"/>
          </w:tcPr>
          <w:p>
            <w:pPr>
              <w:spacing w:after="0"/>
            </w:pPr>
            <w:r>
              <w:rPr>
                <w:rFonts w:ascii="Arial" w:hAnsi="Arial"/>
                <w:sz w:val="18"/>
              </w:rPr>
              <w:t>Packaging is secure</w:t>
            </w:r>
          </w:p>
        </w:tc>
        <w:tc>
          <w:tcPr>
            <w:tcW w:type="dxa" w:w="2880"/>
            <w:tcMar>
              <w:top w:w="120" w:type="dxa"/>
              <w:start w:w="120" w:type="dxa"/>
              <w:bottom w:w="120" w:type="dxa"/>
              <w:end w:w="120" w:type="dxa"/>
            </w:tcMar>
            <w:vAlign w:val="center"/>
          </w:tcPr>
          <w:p>
            <w:pPr>
              <w:spacing w:after="0"/>
            </w:pPr>
            <w:r>
              <w:rPr>
                <w:rFonts w:ascii="Arial" w:hAnsi="Arial"/>
                <w:sz w:val="18"/>
              </w:rPr>
            </w:r>
          </w:p>
        </w:tc>
      </w:tr>
      <w:tr>
        <w:tc>
          <w:tcPr>
            <w:tcW w:type="dxa" w:w="1008"/>
            <w:tcMar>
              <w:top w:w="120" w:type="dxa"/>
              <w:start w:w="120" w:type="dxa"/>
              <w:bottom w:w="120" w:type="dxa"/>
              <w:end w:w="120" w:type="dxa"/>
            </w:tcMar>
            <w:vAlign w:val="center"/>
          </w:tcPr>
          <w:p>
            <w:pPr>
              <w:spacing w:after="0"/>
            </w:pPr>
            <w:r>
              <w:rPr>
                <w:rFonts w:ascii="Arial" w:hAnsi="Arial"/>
                <w:sz w:val="18"/>
              </w:rPr>
              <w:t>[ ]</w:t>
            </w:r>
          </w:p>
        </w:tc>
        <w:tc>
          <w:tcPr>
            <w:tcW w:type="dxa" w:w="5328"/>
            <w:tcMar>
              <w:top w:w="120" w:type="dxa"/>
              <w:start w:w="120" w:type="dxa"/>
              <w:bottom w:w="120" w:type="dxa"/>
              <w:end w:w="120" w:type="dxa"/>
            </w:tcMar>
            <w:vAlign w:val="center"/>
          </w:tcPr>
          <w:p>
            <w:pPr>
              <w:spacing w:after="0"/>
            </w:pPr>
            <w:r>
              <w:rPr>
                <w:rFonts w:ascii="Arial" w:hAnsi="Arial"/>
                <w:sz w:val="18"/>
              </w:rPr>
              <w:t>Venue contact and delivery window were confirmed</w:t>
            </w:r>
          </w:p>
        </w:tc>
        <w:tc>
          <w:tcPr>
            <w:tcW w:type="dxa" w:w="2880"/>
            <w:tcMar>
              <w:top w:w="120" w:type="dxa"/>
              <w:start w:w="120" w:type="dxa"/>
              <w:bottom w:w="120" w:type="dxa"/>
              <w:end w:w="120" w:type="dxa"/>
            </w:tcMar>
            <w:vAlign w:val="center"/>
          </w:tcPr>
          <w:p>
            <w:pPr>
              <w:spacing w:after="0"/>
            </w:pPr>
            <w:r>
              <w:rPr>
                <w:rFonts w:ascii="Arial" w:hAnsi="Arial"/>
                <w:sz w:val="18"/>
              </w:rPr>
            </w:r>
          </w:p>
        </w:tc>
      </w:tr>
      <w:tr>
        <w:tc>
          <w:tcPr>
            <w:tcW w:type="dxa" w:w="1008"/>
            <w:tcMar>
              <w:top w:w="120" w:type="dxa"/>
              <w:start w:w="120" w:type="dxa"/>
              <w:bottom w:w="120" w:type="dxa"/>
              <w:end w:w="120" w:type="dxa"/>
            </w:tcMar>
            <w:vAlign w:val="center"/>
          </w:tcPr>
          <w:p>
            <w:pPr>
              <w:spacing w:after="0"/>
            </w:pPr>
            <w:r>
              <w:rPr>
                <w:rFonts w:ascii="Arial" w:hAnsi="Arial"/>
                <w:sz w:val="18"/>
              </w:rPr>
              <w:t>[ ]</w:t>
            </w:r>
          </w:p>
        </w:tc>
        <w:tc>
          <w:tcPr>
            <w:tcW w:type="dxa" w:w="5328"/>
            <w:tcMar>
              <w:top w:w="120" w:type="dxa"/>
              <w:start w:w="120" w:type="dxa"/>
              <w:bottom w:w="120" w:type="dxa"/>
              <w:end w:w="120" w:type="dxa"/>
            </w:tcMar>
            <w:vAlign w:val="center"/>
          </w:tcPr>
          <w:p>
            <w:pPr>
              <w:spacing w:after="0"/>
            </w:pPr>
            <w:r>
              <w:rPr>
                <w:rFonts w:ascii="Arial" w:hAnsi="Arial"/>
                <w:sz w:val="18"/>
              </w:rPr>
              <w:t>Final client copy is ready to share</w:t>
            </w:r>
          </w:p>
        </w:tc>
        <w:tc>
          <w:tcPr>
            <w:tcW w:type="dxa" w:w="2880"/>
            <w:tcMar>
              <w:top w:w="120" w:type="dxa"/>
              <w:start w:w="120" w:type="dxa"/>
              <w:bottom w:w="120" w:type="dxa"/>
              <w:end w:w="120" w:type="dxa"/>
            </w:tcMar>
            <w:vAlign w:val="center"/>
          </w:tcPr>
          <w:p>
            <w:pPr>
              <w:spacing w:after="0"/>
            </w:pPr>
            <w:r>
              <w:rPr>
                <w:rFonts w:ascii="Arial" w:hAnsi="Arial"/>
                <w:sz w:val="18"/>
              </w:rPr>
            </w:r>
          </w:p>
        </w:tc>
      </w:tr>
    </w:tbl>
    <w:p>
      <w:pPr>
        <w:pStyle w:val="Heading1"/>
      </w:pPr>
      <w:r>
        <w:t>Follow up message drafts</w:t>
      </w:r>
    </w:p>
    <w:p>
      <w:pPr>
        <w:pStyle w:val="Heading2"/>
      </w:pPr>
      <w:r>
        <w:t>Quote follow up</w:t>
      </w:r>
    </w:p>
    <w:p>
      <w:r>
        <w:t>Hello [Client name], I am checking whether you have any questions about quote [Quote number]. I can update the scope if the quantities or delivery details have changed.</w:t>
      </w:r>
    </w:p>
    <w:p>
      <w:pPr>
        <w:pStyle w:val="Heading2"/>
      </w:pPr>
      <w:r>
        <w:t>Approaching due date</w:t>
      </w:r>
    </w:p>
    <w:p>
      <w:r>
        <w:t>Hello [Client name], this is a reminder that invoice [Invoice number] is due on [Due date]. Please review the amount and payment details in the invoice before paying.</w:t>
      </w:r>
    </w:p>
    <w:p>
      <w:pPr>
        <w:pStyle w:val="Heading2"/>
      </w:pPr>
      <w:r>
        <w:t>Recently overdue</w:t>
      </w:r>
    </w:p>
    <w:p>
      <w:r>
        <w:t>Hello [Client name], our records show that invoice [Invoice number] was due on [Due date]. Please let me know if you need another copy or if the payment details require review.</w:t>
      </w:r>
    </w:p>
    <w:p>
      <w:pPr>
        <w:pStyle w:val="Heading2"/>
      </w:pPr>
      <w:r>
        <w:t>Receipt acknowledgement</w:t>
      </w:r>
    </w:p>
    <w:p>
      <w:r>
        <w:t>Hello [Client name], attached is receipt [Receipt number] based on the payment details recorded for [Reference]. Please tell me if any entered detail needs correction.</w:t>
      </w:r>
    </w:p>
    <w:p>
      <w:pPr>
        <w:pStyle w:val="Heading2"/>
      </w:pPr>
      <w:r>
        <w:t>Handover follow up</w:t>
      </w:r>
    </w:p>
    <w:p>
      <w:r>
        <w:t>Hello [Client name], I have completed the agreed handover items for [Project]. Please review the files and let me know if anything listed in the approved scope is missing.</w:t>
      </w:r>
    </w:p>
    <w:p>
      <w:r>
        <w:t>Example only. Replace every bracketed field and verify the facts before sending.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color w:val="142B2E"/>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Ready Kit Example</dc:title>
  <dc:subject/>
  <dc:creator>KitFoundry</dc:creator>
  <cp:keywords/>
  <dc:description>generated by python-docx</dc:description>
  <cp:lastModifiedBy/>
  <cp:revision>1</cp:revision>
  <dcterms:created xsi:type="dcterms:W3CDTF">2013-12-23T23:15:00Z</dcterms:created>
  <dcterms:modified xsi:type="dcterms:W3CDTF">2013-12-23T23:15:00Z</dcterms:modified>
  <cp:category/>
</cp:coreProperties>
</file>